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3C04EE" w:rsidRDefault="003C04EE" w:rsidP="003C04EE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РАБОЧЕЙ ПРО</w:t>
      </w:r>
      <w:r>
        <w:rPr>
          <w:rFonts w:cs="Times New Roman"/>
          <w:szCs w:val="24"/>
        </w:rPr>
        <w:t>ГРАММЕ ПЕДАГОГОВ ГРУППЫ СТАРШЕГО</w:t>
      </w:r>
      <w:r>
        <w:rPr>
          <w:rFonts w:cs="Times New Roman"/>
          <w:szCs w:val="24"/>
        </w:rPr>
        <w:t xml:space="preserve"> ВОЗРАСТА</w:t>
      </w: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№ 6 на 2023–2024 учебный год</w:t>
      </w: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(возраст детей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</w:rPr>
        <w:t>-6</w:t>
      </w:r>
      <w:r>
        <w:rPr>
          <w:rFonts w:cs="Times New Roman"/>
          <w:szCs w:val="24"/>
        </w:rPr>
        <w:t xml:space="preserve"> лет)</w:t>
      </w:r>
    </w:p>
    <w:p w:rsidR="003C04EE" w:rsidRDefault="003C04EE" w:rsidP="003C04EE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0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3C04EE" w:rsidRDefault="003C04EE" w:rsidP="003C04EE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Часть</w:t>
      </w:r>
      <w:r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1" w:name="_Hlk80938514"/>
    </w:p>
    <w:p w:rsidR="003C04EE" w:rsidRDefault="003C04EE" w:rsidP="003C04EE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</w:rP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3C04EE" w:rsidRDefault="003C04EE" w:rsidP="003C04EE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«Первые шаги» Г.Т. </w:t>
      </w:r>
      <w:proofErr w:type="spellStart"/>
      <w:r>
        <w:rPr>
          <w:rFonts w:eastAsia="Calibri" w:cs="Times New Roman"/>
        </w:rPr>
        <w:t>Алифанова</w:t>
      </w:r>
      <w:proofErr w:type="spellEnd"/>
      <w:r>
        <w:rPr>
          <w:rFonts w:eastAsia="Calibri" w:cs="Times New Roman"/>
        </w:rPr>
        <w:t>;</w:t>
      </w:r>
    </w:p>
    <w:p w:rsidR="003C04EE" w:rsidRDefault="003C04EE" w:rsidP="003C04EE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3C04EE" w:rsidRDefault="003C04EE" w:rsidP="003C04EE">
      <w:pPr>
        <w:spacing w:after="0" w:line="240" w:lineRule="auto"/>
        <w:ind w:left="-567" w:firstLine="567"/>
        <w:rPr>
          <w:rFonts w:eastAsia="Calibri" w:cs="Times New Roman"/>
        </w:rPr>
      </w:pPr>
    </w:p>
    <w:p w:rsidR="003C04EE" w:rsidRDefault="003C04EE" w:rsidP="003C04EE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t>«Добро пожаловать в экологию» О.А. Воронкевич</w:t>
      </w:r>
    </w:p>
    <w:p w:rsidR="003C04EE" w:rsidRDefault="003C04EE" w:rsidP="003C04EE">
      <w:pPr>
        <w:spacing w:after="0" w:line="240" w:lineRule="auto"/>
        <w:jc w:val="left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формирование у ребёнка основ экологической культуры.</w:t>
      </w:r>
    </w:p>
    <w:p w:rsidR="003C04EE" w:rsidRDefault="003C04EE" w:rsidP="003C04EE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Theme="majorEastAsia" w:cs="Times New Roman"/>
          <w:color w:val="000000"/>
          <w:szCs w:val="24"/>
          <w:lang w:eastAsia="ru-RU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3C04EE" w:rsidRDefault="003C04EE" w:rsidP="003C04EE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Охватывает возраст детей от 5 до 6 </w:t>
      </w:r>
      <w:bookmarkStart w:id="2" w:name="_GoBack"/>
      <w:bookmarkEnd w:id="2"/>
      <w:r>
        <w:rPr>
          <w:rFonts w:eastAsia="Times New Roman" w:cs="Times New Roman"/>
          <w:szCs w:val="24"/>
          <w:lang w:eastAsia="ru-RU"/>
        </w:rPr>
        <w:t>лет.</w:t>
      </w:r>
    </w:p>
    <w:p w:rsidR="003C04EE" w:rsidRDefault="003C04EE" w:rsidP="003C04EE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3C04EE" w:rsidRDefault="003C04EE" w:rsidP="003C04EE"/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66"/>
    <w:rsid w:val="000F4B63"/>
    <w:rsid w:val="002D51BE"/>
    <w:rsid w:val="003C04EE"/>
    <w:rsid w:val="004E0466"/>
    <w:rsid w:val="00761AC1"/>
    <w:rsid w:val="00867ACF"/>
    <w:rsid w:val="00876CA4"/>
    <w:rsid w:val="00890CF1"/>
    <w:rsid w:val="008941FF"/>
    <w:rsid w:val="00A7223B"/>
    <w:rsid w:val="00A77BC6"/>
    <w:rsid w:val="00AF35A2"/>
    <w:rsid w:val="00B46E4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8170"/>
  <w15:chartTrackingRefBased/>
  <w15:docId w15:val="{6BF76A69-AF64-42F7-82A7-C3ACFD3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E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2023-09-06T13:40:00Z</dcterms:created>
  <dcterms:modified xsi:type="dcterms:W3CDTF">2023-09-06T14:19:00Z</dcterms:modified>
</cp:coreProperties>
</file>